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Двадцать четвёртая ежегодная отчетная конференция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Адвокатской палаты Свердловской области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C001A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РЕШЕНИЕ </w:t>
      </w:r>
    </w:p>
    <w:p w:rsidR="00367D06" w:rsidRPr="00350318" w:rsidRDefault="00367D06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32"/>
          <w:szCs w:val="32"/>
        </w:rPr>
      </w:pPr>
      <w:r w:rsidRPr="00350318">
        <w:rPr>
          <w:b/>
          <w:bCs/>
          <w:i/>
          <w:iCs/>
          <w:sz w:val="32"/>
          <w:szCs w:val="32"/>
        </w:rPr>
        <w:t xml:space="preserve">01 марта 2024 года      </w:t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  <w:t>г. Екатеринб</w:t>
      </w:r>
      <w:r w:rsidRPr="00350318">
        <w:rPr>
          <w:rFonts w:ascii="Times New Roman CYR" w:hAnsi="Times New Roman CYR" w:cs="Times New Roman CYR"/>
          <w:bCs/>
          <w:i/>
          <w:iCs/>
          <w:sz w:val="32"/>
          <w:szCs w:val="32"/>
        </w:rPr>
        <w:t>ург</w:t>
      </w: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50318">
        <w:rPr>
          <w:sz w:val="32"/>
          <w:szCs w:val="32"/>
        </w:rPr>
        <w:t>1. Утвердить отчет о деятельности Совета Адвокатской палаты Свердловской области за 2023 год.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>2. Утвердить отчет ревизионной комиссии о результатах финансово-хозяйственной деятельности АПСО в 2023 году.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 xml:space="preserve">3. </w:t>
      </w:r>
      <w:proofErr w:type="gramStart"/>
      <w:r w:rsidRPr="00350318">
        <w:rPr>
          <w:rFonts w:ascii="Times New Roman CYR" w:hAnsi="Times New Roman CYR" w:cs="Times New Roman CYR"/>
          <w:sz w:val="32"/>
          <w:szCs w:val="32"/>
        </w:rPr>
        <w:t xml:space="preserve">Утвердить исполнительную смету на содержание Адвокатской палаты Свердловской области за 2023 год по доходу </w:t>
      </w:r>
      <w:r w:rsidR="00910A6D" w:rsidRPr="00350318">
        <w:rPr>
          <w:rFonts w:ascii="Times New Roman CYR" w:hAnsi="Times New Roman CYR" w:cs="Times New Roman CYR"/>
          <w:sz w:val="32"/>
          <w:szCs w:val="32"/>
        </w:rPr>
        <w:t>33 416 384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руб., по расходу </w:t>
      </w:r>
      <w:r w:rsidR="00910A6D" w:rsidRPr="00350318">
        <w:rPr>
          <w:rFonts w:ascii="Times New Roman CYR" w:hAnsi="Times New Roman CYR" w:cs="Times New Roman CYR"/>
          <w:sz w:val="32"/>
          <w:szCs w:val="32"/>
        </w:rPr>
        <w:t>28 830 603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руб., с экономией  </w:t>
      </w:r>
      <w:r w:rsidR="00910A6D" w:rsidRPr="00350318">
        <w:rPr>
          <w:rFonts w:ascii="Times New Roman CYR" w:hAnsi="Times New Roman CYR" w:cs="Times New Roman CYR"/>
          <w:sz w:val="32"/>
          <w:szCs w:val="32"/>
        </w:rPr>
        <w:t>4 585 781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руб.</w:t>
      </w:r>
      <w:proofErr w:type="gramEnd"/>
    </w:p>
    <w:p w:rsidR="001039AB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sz w:val="32"/>
          <w:szCs w:val="32"/>
        </w:rPr>
        <w:t xml:space="preserve">4. 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Установить обязательные отчисления адвокатов на общие нужды Адвокатской палаты Свердловской области на 2024 год с 1 марта 2024 года ежемесячно в размере: </w:t>
      </w:r>
    </w:p>
    <w:p w:rsidR="001039AB" w:rsidRDefault="001039AB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для членов Свердловской областной коллегии адвокатов – </w:t>
      </w:r>
      <w:r w:rsidR="00350318" w:rsidRPr="00350318">
        <w:rPr>
          <w:rFonts w:ascii="Times New Roman CYR" w:hAnsi="Times New Roman CYR" w:cs="Times New Roman CYR"/>
          <w:sz w:val="32"/>
          <w:szCs w:val="32"/>
        </w:rPr>
        <w:t>1000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рублей; </w:t>
      </w:r>
    </w:p>
    <w:p w:rsidR="001039AB" w:rsidRDefault="001039AB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для членов других коллегий адвокатов, филиалов коллегий адвокатов, адвокатских бюро, юридических консультаций – 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350318" w:rsidRPr="00350318">
        <w:rPr>
          <w:rFonts w:ascii="Times New Roman CYR" w:hAnsi="Times New Roman CYR" w:cs="Times New Roman CYR"/>
          <w:sz w:val="32"/>
          <w:szCs w:val="32"/>
        </w:rPr>
        <w:t>1150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 рублей; </w:t>
      </w:r>
    </w:p>
    <w:p w:rsidR="005C001A" w:rsidRPr="00350318" w:rsidRDefault="001039AB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для адвокатов, учредивших адвокатские кабинеты, </w:t>
      </w:r>
      <w:r w:rsidR="005C001A" w:rsidRPr="00350318">
        <w:rPr>
          <w:sz w:val="32"/>
          <w:szCs w:val="32"/>
        </w:rPr>
        <w:t>и адвокатов, не определившихся с формой адвокатского образования,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 – </w:t>
      </w:r>
      <w:r w:rsidR="00350318" w:rsidRPr="00350318">
        <w:rPr>
          <w:rFonts w:ascii="Times New Roman CYR" w:hAnsi="Times New Roman CYR" w:cs="Times New Roman CYR"/>
          <w:sz w:val="32"/>
          <w:szCs w:val="32"/>
        </w:rPr>
        <w:t>2350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 xml:space="preserve"> рублей.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>5. Адвокатам, имеющим адвокатский стаж 40 лет и выше, установить обязательные отчисления на общие нужды Адвокатской палаты Свердловской области в размере 300 рублей ежемесячно.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>6. Адвокатам, имеющим инвалидность, снизить на 50%   размер ежемесячных обязательных отчислений на нужды АПСО.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 xml:space="preserve">7. </w:t>
      </w:r>
      <w:proofErr w:type="gramStart"/>
      <w:r w:rsidRPr="00350318">
        <w:rPr>
          <w:rFonts w:ascii="Times New Roman CYR" w:hAnsi="Times New Roman CYR" w:cs="Times New Roman CYR"/>
          <w:sz w:val="32"/>
          <w:szCs w:val="32"/>
        </w:rPr>
        <w:t xml:space="preserve">Установить для членов Адвокатской палаты Свердловской области, получивших статус адвоката после 01.03.2024 года, и для адвокатов, приобретающих членство в Адвокатской палате Свердловской области в связи с изменением членства в адвокатской </w:t>
      </w:r>
      <w:r w:rsidR="00A22826">
        <w:rPr>
          <w:rFonts w:ascii="Times New Roman CYR" w:hAnsi="Times New Roman CYR" w:cs="Times New Roman CYR"/>
          <w:sz w:val="32"/>
          <w:szCs w:val="32"/>
        </w:rPr>
        <w:t xml:space="preserve">  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палате </w:t>
      </w:r>
      <w:r w:rsidR="00A22826">
        <w:rPr>
          <w:rFonts w:ascii="Times New Roman CYR" w:hAnsi="Times New Roman CYR" w:cs="Times New Roman CYR"/>
          <w:sz w:val="32"/>
          <w:szCs w:val="32"/>
        </w:rPr>
        <w:t xml:space="preserve">  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другого </w:t>
      </w:r>
      <w:r w:rsidR="00A22826">
        <w:rPr>
          <w:rFonts w:ascii="Times New Roman CYR" w:hAnsi="Times New Roman CYR" w:cs="Times New Roman CYR"/>
          <w:sz w:val="32"/>
          <w:szCs w:val="32"/>
        </w:rPr>
        <w:t>субъекта Российской Федерации, е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диновременное  обязательное отчисление на общие нужды адвокатской палаты в размере 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20</w:t>
      </w:r>
      <w:r w:rsidRPr="00350318">
        <w:rPr>
          <w:rFonts w:ascii="Times New Roman CYR" w:hAnsi="Times New Roman CYR" w:cs="Times New Roman CYR"/>
          <w:sz w:val="32"/>
          <w:szCs w:val="32"/>
        </w:rPr>
        <w:t>0 000 (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двухсот</w:t>
      </w:r>
      <w:r w:rsidR="00A1457D">
        <w:rPr>
          <w:rFonts w:ascii="Times New Roman CYR" w:hAnsi="Times New Roman CYR" w:cs="Times New Roman CYR"/>
          <w:sz w:val="32"/>
          <w:szCs w:val="32"/>
        </w:rPr>
        <w:t xml:space="preserve"> тысяч) рублей, с правом Совета предоставлять рассрочку платежа сроком до одного </w:t>
      </w:r>
      <w:r w:rsidR="00A1457D">
        <w:rPr>
          <w:rFonts w:ascii="Times New Roman CYR" w:hAnsi="Times New Roman CYR" w:cs="Times New Roman CYR"/>
          <w:sz w:val="32"/>
          <w:szCs w:val="32"/>
        </w:rPr>
        <w:lastRenderedPageBreak/>
        <w:t>года</w:t>
      </w:r>
      <w:proofErr w:type="gramEnd"/>
      <w:r w:rsidR="00A1457D">
        <w:rPr>
          <w:rFonts w:ascii="Times New Roman CYR" w:hAnsi="Times New Roman CYR" w:cs="Times New Roman CYR"/>
          <w:sz w:val="32"/>
          <w:szCs w:val="32"/>
        </w:rPr>
        <w:t>, при условии</w:t>
      </w:r>
      <w:r w:rsidR="00596837">
        <w:rPr>
          <w:rFonts w:ascii="Times New Roman CYR" w:hAnsi="Times New Roman CYR" w:cs="Times New Roman CYR"/>
          <w:sz w:val="32"/>
          <w:szCs w:val="32"/>
        </w:rPr>
        <w:t xml:space="preserve"> единовременного</w:t>
      </w:r>
      <w:r w:rsidR="00A1457D">
        <w:rPr>
          <w:rFonts w:ascii="Times New Roman CYR" w:hAnsi="Times New Roman CYR" w:cs="Times New Roman CYR"/>
          <w:sz w:val="32"/>
          <w:szCs w:val="32"/>
        </w:rPr>
        <w:t xml:space="preserve"> внесения</w:t>
      </w:r>
      <w:r w:rsidR="00596837">
        <w:rPr>
          <w:rFonts w:ascii="Times New Roman CYR" w:hAnsi="Times New Roman CYR" w:cs="Times New Roman CYR"/>
          <w:sz w:val="32"/>
          <w:szCs w:val="32"/>
        </w:rPr>
        <w:t xml:space="preserve"> не менее</w:t>
      </w:r>
      <w:r w:rsidR="00A1457D">
        <w:rPr>
          <w:rFonts w:ascii="Times New Roman CYR" w:hAnsi="Times New Roman CYR" w:cs="Times New Roman CYR"/>
          <w:sz w:val="32"/>
          <w:szCs w:val="32"/>
        </w:rPr>
        <w:t xml:space="preserve"> половины суммы взноса.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Предоставить Совету Адвокатской палаты Свердловской области право снижать размер единовременного обязательного отчисления</w:t>
      </w:r>
      <w:r w:rsidR="00367D06">
        <w:rPr>
          <w:rFonts w:ascii="Times New Roman CYR" w:hAnsi="Times New Roman CYR" w:cs="Times New Roman CYR"/>
          <w:sz w:val="32"/>
          <w:szCs w:val="32"/>
        </w:rPr>
        <w:t xml:space="preserve"> тем лицам, которые не имеют иного юридического стажа, кроме стажа, полученного в ходе стажировки в адвокатском образовании, 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до суммы не ниже 20 000 (двадцати  тысяч) рублей.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sz w:val="32"/>
          <w:szCs w:val="32"/>
        </w:rPr>
        <w:t xml:space="preserve">8. 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Выплачивать в 2024 году денежные пособия неработающим пенсионерам по прилагаемому списку в размере </w:t>
      </w:r>
      <w:r w:rsidR="00350318" w:rsidRPr="00350318">
        <w:rPr>
          <w:rFonts w:ascii="Times New Roman CYR" w:hAnsi="Times New Roman CYR" w:cs="Times New Roman CYR"/>
          <w:sz w:val="32"/>
          <w:szCs w:val="32"/>
        </w:rPr>
        <w:t>1</w:t>
      </w:r>
      <w:bookmarkStart w:id="0" w:name="_GoBack"/>
      <w:bookmarkEnd w:id="0"/>
      <w:r w:rsidR="00350318" w:rsidRPr="00350318">
        <w:rPr>
          <w:rFonts w:ascii="Times New Roman CYR" w:hAnsi="Times New Roman CYR" w:cs="Times New Roman CYR"/>
          <w:sz w:val="32"/>
          <w:szCs w:val="32"/>
        </w:rPr>
        <w:t>954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рубля каждому ежемесячно.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 xml:space="preserve">9. Утвердить смету расходов на содержание </w:t>
      </w:r>
      <w:proofErr w:type="gramStart"/>
      <w:r w:rsidRPr="00350318">
        <w:rPr>
          <w:rFonts w:ascii="Times New Roman CYR" w:hAnsi="Times New Roman CYR" w:cs="Times New Roman CYR"/>
          <w:sz w:val="32"/>
          <w:szCs w:val="32"/>
        </w:rPr>
        <w:t>Адвокатской</w:t>
      </w:r>
      <w:proofErr w:type="gramEnd"/>
      <w:r w:rsidRPr="00350318">
        <w:rPr>
          <w:rFonts w:ascii="Times New Roman CYR" w:hAnsi="Times New Roman CYR" w:cs="Times New Roman CYR"/>
          <w:sz w:val="32"/>
          <w:szCs w:val="32"/>
        </w:rPr>
        <w:t xml:space="preserve">  палаты Свердловской области на 2024 год: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 xml:space="preserve">- по доходной части в размере 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34 292 581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рубл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ь</w:t>
      </w:r>
      <w:r w:rsidRPr="00350318">
        <w:rPr>
          <w:rFonts w:ascii="Times New Roman CYR" w:hAnsi="Times New Roman CYR" w:cs="Times New Roman CYR"/>
          <w:sz w:val="32"/>
          <w:szCs w:val="32"/>
        </w:rPr>
        <w:t>;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 xml:space="preserve">- по расходной части в размере 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34 292 581</w:t>
      </w:r>
      <w:r w:rsidRPr="00350318">
        <w:rPr>
          <w:rFonts w:ascii="Times New Roman CYR" w:hAnsi="Times New Roman CYR" w:cs="Times New Roman CYR"/>
          <w:sz w:val="32"/>
          <w:szCs w:val="32"/>
        </w:rPr>
        <w:t xml:space="preserve"> рубл</w:t>
      </w:r>
      <w:r w:rsidR="00813AD0" w:rsidRPr="00350318">
        <w:rPr>
          <w:rFonts w:ascii="Times New Roman CYR" w:hAnsi="Times New Roman CYR" w:cs="Times New Roman CYR"/>
          <w:sz w:val="32"/>
          <w:szCs w:val="32"/>
        </w:rPr>
        <w:t>ь</w:t>
      </w:r>
      <w:r w:rsidRPr="00350318">
        <w:rPr>
          <w:rFonts w:ascii="Times New Roman CYR" w:hAnsi="Times New Roman CYR" w:cs="Times New Roman CYR"/>
          <w:sz w:val="32"/>
          <w:szCs w:val="32"/>
        </w:rPr>
        <w:t>.</w:t>
      </w:r>
    </w:p>
    <w:p w:rsidR="005C001A" w:rsidRPr="00350318" w:rsidRDefault="00813AD0" w:rsidP="005C00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350318">
        <w:rPr>
          <w:rFonts w:ascii="Times New Roman CYR" w:hAnsi="Times New Roman CYR" w:cs="Times New Roman CYR"/>
          <w:sz w:val="32"/>
          <w:szCs w:val="32"/>
        </w:rPr>
        <w:t>10</w:t>
      </w:r>
      <w:r w:rsidR="005C001A" w:rsidRPr="00350318">
        <w:rPr>
          <w:rFonts w:ascii="Times New Roman CYR" w:hAnsi="Times New Roman CYR" w:cs="Times New Roman CYR"/>
          <w:sz w:val="32"/>
          <w:szCs w:val="32"/>
        </w:rPr>
        <w:t>. Разрешить Совету Адвокатской палаты Свердловской области в тех случаях, когда по отдельным статьям утверждённой сметы будет возникать экономия, а по другим статьям расходов будет недостаточность средств, перераспределять денежные средства в пределах утверждённой сметы.</w:t>
      </w: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Председательствующий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    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     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>И.А. Путинцев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CA1FF2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Секретар</w:t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>и</w:t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CA1FF2">
        <w:rPr>
          <w:rFonts w:ascii="Times New Roman CYR" w:hAnsi="Times New Roman CYR" w:cs="Times New Roman CYR"/>
          <w:i/>
          <w:iCs/>
          <w:sz w:val="32"/>
          <w:szCs w:val="32"/>
        </w:rPr>
        <w:tab/>
        <w:t>Е.В. Зверева</w:t>
      </w:r>
    </w:p>
    <w:p w:rsidR="005C001A" w:rsidRPr="00350318" w:rsidRDefault="00CA1FF2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А.И.Дементьева</w:t>
      </w:r>
      <w:proofErr w:type="spellEnd"/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</w:t>
      </w:r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="005C001A"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 xml:space="preserve"> ВЕРНО: Управделами АПСО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proofErr w:type="spellStart"/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Т.В.Кирнос</w:t>
      </w:r>
      <w:proofErr w:type="spellEnd"/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Двадцать четвёртая ежегодная отчетная конференция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Адвокатской палаты Свердловской области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35031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ВЫПИСКА  ИЗ  РЕШЕНИЯ </w:t>
      </w: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350318">
        <w:rPr>
          <w:b/>
          <w:bCs/>
          <w:i/>
          <w:iCs/>
          <w:sz w:val="32"/>
          <w:szCs w:val="32"/>
        </w:rPr>
        <w:t xml:space="preserve">01 марта 2024 года      </w:t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b/>
          <w:bCs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  <w:t>г. Екатеринбург</w:t>
      </w: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Председательствующий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    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     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>И.А. Путинцев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Секретарь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</w:t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lastRenderedPageBreak/>
        <w:t xml:space="preserve">          ВЕРНО: Управделами АПСО</w:t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  <w:proofErr w:type="spellStart"/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>Т.В.Кирнос</w:t>
      </w:r>
      <w:proofErr w:type="spellEnd"/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</w:p>
    <w:p w:rsidR="005C001A" w:rsidRPr="00350318" w:rsidRDefault="005C001A" w:rsidP="005C00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350318">
        <w:rPr>
          <w:rFonts w:ascii="Times New Roman CYR" w:hAnsi="Times New Roman CYR" w:cs="Times New Roman CYR"/>
          <w:i/>
          <w:iCs/>
          <w:sz w:val="32"/>
          <w:szCs w:val="32"/>
        </w:rPr>
        <w:tab/>
      </w:r>
    </w:p>
    <w:p w:rsidR="00F95EAF" w:rsidRPr="00350318" w:rsidRDefault="00F95EAF">
      <w:pPr>
        <w:rPr>
          <w:sz w:val="32"/>
          <w:szCs w:val="32"/>
        </w:rPr>
      </w:pPr>
    </w:p>
    <w:sectPr w:rsidR="00F95EAF" w:rsidRPr="0035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A"/>
    <w:rsid w:val="001039AB"/>
    <w:rsid w:val="00350318"/>
    <w:rsid w:val="00367D06"/>
    <w:rsid w:val="00480E12"/>
    <w:rsid w:val="00596837"/>
    <w:rsid w:val="005C001A"/>
    <w:rsid w:val="00813AD0"/>
    <w:rsid w:val="00910A6D"/>
    <w:rsid w:val="00A1457D"/>
    <w:rsid w:val="00A22826"/>
    <w:rsid w:val="00CA1FF2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9</cp:revision>
  <cp:lastPrinted>2024-03-05T07:06:00Z</cp:lastPrinted>
  <dcterms:created xsi:type="dcterms:W3CDTF">2024-02-27T04:09:00Z</dcterms:created>
  <dcterms:modified xsi:type="dcterms:W3CDTF">2024-03-05T07:14:00Z</dcterms:modified>
</cp:coreProperties>
</file>